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1B" w:rsidRDefault="007E4F1B" w:rsidP="007E4F1B">
      <w:pPr>
        <w:pStyle w:val="Heading1"/>
        <w:spacing w:before="0" w:after="0"/>
        <w:jc w:val="center"/>
      </w:pPr>
      <w:r w:rsidRPr="00744713">
        <w:t>[School name]</w:t>
      </w:r>
    </w:p>
    <w:p w:rsidR="007E4F1B" w:rsidRDefault="007E4F1B" w:rsidP="007E4F1B">
      <w:pPr>
        <w:pStyle w:val="Heading2"/>
        <w:spacing w:before="0" w:line="240" w:lineRule="auto"/>
      </w:pPr>
      <w:r>
        <w:t>Clinical Facility Audit Tool</w:t>
      </w:r>
    </w:p>
    <w:p w:rsidR="007E4F1B" w:rsidRPr="007E4F1B" w:rsidRDefault="007E4F1B" w:rsidP="007E4F1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360"/>
        <w:gridCol w:w="390"/>
        <w:gridCol w:w="545"/>
      </w:tblGrid>
      <w:tr w:rsidR="007E4F1B" w:rsidTr="00F46F44">
        <w:tc>
          <w:tcPr>
            <w:tcW w:w="8281" w:type="dxa"/>
          </w:tcPr>
          <w:p w:rsidR="007E4F1B" w:rsidRPr="00804FBA" w:rsidRDefault="007E4F1B" w:rsidP="007E4F1B">
            <w:pPr>
              <w:rPr>
                <w:b/>
              </w:rPr>
            </w:pPr>
            <w:r w:rsidRPr="00804FBA">
              <w:rPr>
                <w:b/>
              </w:rPr>
              <w:t>Facility Name:</w:t>
            </w:r>
          </w:p>
        </w:tc>
        <w:tc>
          <w:tcPr>
            <w:tcW w:w="360" w:type="dxa"/>
          </w:tcPr>
          <w:p w:rsidR="007E4F1B" w:rsidRDefault="007E4F1B" w:rsidP="007E4F1B"/>
        </w:tc>
        <w:tc>
          <w:tcPr>
            <w:tcW w:w="390" w:type="dxa"/>
          </w:tcPr>
          <w:p w:rsidR="007E4F1B" w:rsidRDefault="007E4F1B" w:rsidP="007E4F1B"/>
        </w:tc>
        <w:tc>
          <w:tcPr>
            <w:tcW w:w="545" w:type="dxa"/>
          </w:tcPr>
          <w:p w:rsidR="007E4F1B" w:rsidRDefault="007E4F1B" w:rsidP="007E4F1B"/>
        </w:tc>
      </w:tr>
      <w:tr w:rsidR="007E4F1B" w:rsidTr="00F46F44">
        <w:tc>
          <w:tcPr>
            <w:tcW w:w="8281" w:type="dxa"/>
          </w:tcPr>
          <w:p w:rsidR="007E4F1B" w:rsidRPr="00804FBA" w:rsidRDefault="007E4F1B" w:rsidP="007E4F1B">
            <w:pPr>
              <w:rPr>
                <w:b/>
              </w:rPr>
            </w:pPr>
            <w:r w:rsidRPr="00804FBA">
              <w:rPr>
                <w:b/>
              </w:rPr>
              <w:t>Reviewer:</w:t>
            </w:r>
          </w:p>
        </w:tc>
        <w:tc>
          <w:tcPr>
            <w:tcW w:w="360" w:type="dxa"/>
          </w:tcPr>
          <w:p w:rsidR="007E4F1B" w:rsidRDefault="007E4F1B" w:rsidP="007E4F1B"/>
        </w:tc>
        <w:tc>
          <w:tcPr>
            <w:tcW w:w="390" w:type="dxa"/>
          </w:tcPr>
          <w:p w:rsidR="007E4F1B" w:rsidRDefault="007E4F1B" w:rsidP="007E4F1B"/>
        </w:tc>
        <w:tc>
          <w:tcPr>
            <w:tcW w:w="545" w:type="dxa"/>
          </w:tcPr>
          <w:p w:rsidR="007E4F1B" w:rsidRDefault="007E4F1B" w:rsidP="007E4F1B"/>
        </w:tc>
      </w:tr>
      <w:tr w:rsidR="007E4F1B" w:rsidTr="00F46F44">
        <w:tc>
          <w:tcPr>
            <w:tcW w:w="8281" w:type="dxa"/>
          </w:tcPr>
          <w:p w:rsidR="007E4F1B" w:rsidRPr="00804FBA" w:rsidRDefault="007E4F1B" w:rsidP="007E4F1B">
            <w:pPr>
              <w:rPr>
                <w:b/>
              </w:rPr>
            </w:pPr>
            <w:r w:rsidRPr="00804FBA">
              <w:rPr>
                <w:b/>
              </w:rPr>
              <w:t>Date of Review:</w:t>
            </w:r>
          </w:p>
        </w:tc>
        <w:tc>
          <w:tcPr>
            <w:tcW w:w="360" w:type="dxa"/>
          </w:tcPr>
          <w:p w:rsidR="007E4F1B" w:rsidRDefault="007E4F1B" w:rsidP="007E4F1B"/>
        </w:tc>
        <w:tc>
          <w:tcPr>
            <w:tcW w:w="390" w:type="dxa"/>
          </w:tcPr>
          <w:p w:rsidR="007E4F1B" w:rsidRDefault="007E4F1B" w:rsidP="007E4F1B"/>
        </w:tc>
        <w:tc>
          <w:tcPr>
            <w:tcW w:w="545" w:type="dxa"/>
          </w:tcPr>
          <w:p w:rsidR="007E4F1B" w:rsidRDefault="007E4F1B" w:rsidP="007E4F1B"/>
        </w:tc>
      </w:tr>
    </w:tbl>
    <w:p w:rsidR="007E4F1B" w:rsidRDefault="007E4F1B" w:rsidP="007E4F1B">
      <w:pPr>
        <w:spacing w:after="0" w:line="240" w:lineRule="auto"/>
      </w:pPr>
    </w:p>
    <w:p w:rsidR="005A7116" w:rsidRDefault="007E4F1B" w:rsidP="007E4F1B">
      <w:pPr>
        <w:pStyle w:val="Heading3"/>
        <w:spacing w:before="0" w:line="240" w:lineRule="auto"/>
      </w:pPr>
      <w:r>
        <w:t>Clinical Care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3"/>
        <w:gridCol w:w="360"/>
        <w:gridCol w:w="408"/>
        <w:gridCol w:w="545"/>
      </w:tblGrid>
      <w:tr w:rsidR="007E4F1B" w:rsidTr="00F46F44">
        <w:tc>
          <w:tcPr>
            <w:tcW w:w="8263" w:type="dxa"/>
            <w:shd w:val="clear" w:color="auto" w:fill="auto"/>
          </w:tcPr>
          <w:p w:rsidR="007E4F1B" w:rsidRDefault="00F46F44" w:rsidP="00F46F44">
            <w:pPr>
              <w:jc w:val="right"/>
            </w:pPr>
            <w:r w:rsidRPr="007E4F1B">
              <w:t>Y=YES; N=NO; NA=NOT</w:t>
            </w:r>
            <w:r>
              <w:t xml:space="preserve"> APPLICABLE</w:t>
            </w:r>
          </w:p>
        </w:tc>
        <w:tc>
          <w:tcPr>
            <w:tcW w:w="360" w:type="dxa"/>
            <w:shd w:val="clear" w:color="auto" w:fill="auto"/>
          </w:tcPr>
          <w:p w:rsidR="007E4F1B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Y</w:t>
            </w:r>
          </w:p>
        </w:tc>
        <w:tc>
          <w:tcPr>
            <w:tcW w:w="408" w:type="dxa"/>
            <w:shd w:val="clear" w:color="auto" w:fill="auto"/>
          </w:tcPr>
          <w:p w:rsidR="007E4F1B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N</w:t>
            </w:r>
          </w:p>
        </w:tc>
        <w:tc>
          <w:tcPr>
            <w:tcW w:w="545" w:type="dxa"/>
            <w:shd w:val="clear" w:color="auto" w:fill="auto"/>
          </w:tcPr>
          <w:p w:rsidR="007E4F1B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NA</w:t>
            </w:r>
          </w:p>
        </w:tc>
      </w:tr>
      <w:tr w:rsidR="00F46F44" w:rsidTr="00F46F44">
        <w:tc>
          <w:tcPr>
            <w:tcW w:w="8263" w:type="dxa"/>
            <w:shd w:val="clear" w:color="auto" w:fill="auto"/>
          </w:tcPr>
          <w:p w:rsidR="00F46F44" w:rsidRDefault="00F46F44" w:rsidP="007E4F1B">
            <w:r>
              <w:t>1. Adequate number of patients for students?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408" w:type="dxa"/>
            <w:shd w:val="clear" w:color="auto" w:fill="auto"/>
          </w:tcPr>
          <w:p w:rsidR="00F46F44" w:rsidRDefault="00F46F44" w:rsidP="007E4F1B"/>
        </w:tc>
        <w:tc>
          <w:tcPr>
            <w:tcW w:w="545" w:type="dxa"/>
            <w:shd w:val="clear" w:color="auto" w:fill="auto"/>
          </w:tcPr>
          <w:p w:rsidR="00F46F44" w:rsidRDefault="00F46F44" w:rsidP="007E4F1B"/>
        </w:tc>
      </w:tr>
      <w:tr w:rsidR="007E4F1B" w:rsidTr="006D7420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2. Appropriate inpatient/outpatient balance?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11280F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3. Appropriate diversity of patients for type of facility?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ED4D7D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4. Practice patterns consistent with modern practice standards?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9164A1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5. Adequate modern diagnostic equipment?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EF690F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6. Adequate modern therapeutic equipment?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A763C9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7. Adequate modern monitoring equipment?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B4419D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8. Adequate supply and diversity of medications?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461F76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9. Appropriate number of clinicians to treat patients?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367B1E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10. Robust quality assurance program?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47145B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63" w:type="dxa"/>
            <w:shd w:val="clear" w:color="auto" w:fill="auto"/>
          </w:tcPr>
          <w:p w:rsidR="007E4F1B" w:rsidRDefault="007E4F1B" w:rsidP="007E4F1B">
            <w:r>
              <w:t>11. Ready access to medical records?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40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ED59D6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</w:tbl>
    <w:p w:rsidR="007E4F1B" w:rsidRDefault="007E4F1B" w:rsidP="007E4F1B">
      <w:pPr>
        <w:spacing w:after="0" w:line="240" w:lineRule="auto"/>
      </w:pPr>
    </w:p>
    <w:p w:rsidR="007E4F1B" w:rsidRDefault="007E4F1B" w:rsidP="007E4F1B">
      <w:pPr>
        <w:pStyle w:val="Heading3"/>
        <w:spacing w:before="0" w:line="240" w:lineRule="auto"/>
      </w:pPr>
      <w:r>
        <w:t>Educational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3"/>
        <w:gridCol w:w="360"/>
        <w:gridCol w:w="398"/>
        <w:gridCol w:w="545"/>
      </w:tblGrid>
      <w:tr w:rsidR="007E4F1B" w:rsidTr="00F46F44">
        <w:tc>
          <w:tcPr>
            <w:tcW w:w="8273" w:type="dxa"/>
            <w:shd w:val="clear" w:color="auto" w:fill="auto"/>
          </w:tcPr>
          <w:p w:rsidR="007E4F1B" w:rsidRDefault="00F46F44" w:rsidP="00F46F44">
            <w:pPr>
              <w:jc w:val="right"/>
            </w:pPr>
            <w:r w:rsidRPr="007E4F1B">
              <w:t>Y=YES; N=NO; NA=NOT</w:t>
            </w:r>
            <w:r>
              <w:t xml:space="preserve"> APPLICABLE</w:t>
            </w:r>
          </w:p>
        </w:tc>
        <w:tc>
          <w:tcPr>
            <w:tcW w:w="360" w:type="dxa"/>
            <w:shd w:val="clear" w:color="auto" w:fill="auto"/>
          </w:tcPr>
          <w:p w:rsidR="007E4F1B" w:rsidRDefault="00F46F44" w:rsidP="007E4F1B">
            <w:r w:rsidRPr="00F46F44">
              <w:rPr>
                <w:b/>
              </w:rPr>
              <w:t>Y</w:t>
            </w:r>
          </w:p>
        </w:tc>
        <w:tc>
          <w:tcPr>
            <w:tcW w:w="398" w:type="dxa"/>
            <w:shd w:val="clear" w:color="auto" w:fill="auto"/>
          </w:tcPr>
          <w:p w:rsidR="007E4F1B" w:rsidRDefault="00F46F44" w:rsidP="007E4F1B">
            <w:r w:rsidRPr="00F46F44">
              <w:rPr>
                <w:b/>
              </w:rPr>
              <w:t>N</w:t>
            </w:r>
          </w:p>
        </w:tc>
        <w:tc>
          <w:tcPr>
            <w:tcW w:w="545" w:type="dxa"/>
            <w:shd w:val="clear" w:color="auto" w:fill="auto"/>
          </w:tcPr>
          <w:p w:rsidR="007E4F1B" w:rsidRDefault="00F46F44" w:rsidP="007E4F1B">
            <w:r w:rsidRPr="00F46F44">
              <w:rPr>
                <w:b/>
              </w:rPr>
              <w:t>NA</w:t>
            </w:r>
          </w:p>
        </w:tc>
      </w:tr>
      <w:tr w:rsidR="00F46F44" w:rsidTr="00F46F44">
        <w:tc>
          <w:tcPr>
            <w:tcW w:w="8273" w:type="dxa"/>
            <w:shd w:val="clear" w:color="auto" w:fill="auto"/>
          </w:tcPr>
          <w:p w:rsidR="00F46F44" w:rsidRDefault="00F46F44" w:rsidP="007E4F1B">
            <w:r>
              <w:t>1. Classroom space for small group instruction?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98" w:type="dxa"/>
            <w:shd w:val="clear" w:color="auto" w:fill="auto"/>
          </w:tcPr>
          <w:p w:rsidR="00F46F44" w:rsidRDefault="00F46F44" w:rsidP="007E4F1B"/>
        </w:tc>
        <w:tc>
          <w:tcPr>
            <w:tcW w:w="545" w:type="dxa"/>
            <w:shd w:val="clear" w:color="auto" w:fill="auto"/>
          </w:tcPr>
          <w:p w:rsidR="00F46F44" w:rsidRDefault="00F46F44" w:rsidP="007E4F1B"/>
        </w:tc>
      </w:tr>
      <w:tr w:rsidR="007E4F1B" w:rsidTr="003C43B9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2. Current or prior successful clinical education program?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F15CBA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3. Clinical staff expresses interest in educational program?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7E6E25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4. Management expresses interest in educational program?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A65004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5. Appropriate supervision is provided?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1E3357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6. Unique educational aspects of this facility?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002C7B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7. All clinical personnel understand the students’ role?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184184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  <w:tr w:rsidR="007E4F1B" w:rsidTr="00F46F44">
        <w:tc>
          <w:tcPr>
            <w:tcW w:w="8273" w:type="dxa"/>
            <w:shd w:val="clear" w:color="auto" w:fill="auto"/>
          </w:tcPr>
          <w:p w:rsidR="007E4F1B" w:rsidRDefault="007E4F1B" w:rsidP="007E4F1B">
            <w:r>
              <w:t>8. A clear mechanism exists to provide immediate feedback to the school in case of an untoward even?</w:t>
            </w:r>
          </w:p>
        </w:tc>
        <w:tc>
          <w:tcPr>
            <w:tcW w:w="360" w:type="dxa"/>
            <w:shd w:val="clear" w:color="auto" w:fill="auto"/>
          </w:tcPr>
          <w:p w:rsidR="007E4F1B" w:rsidRDefault="007E4F1B" w:rsidP="007E4F1B"/>
        </w:tc>
        <w:tc>
          <w:tcPr>
            <w:tcW w:w="398" w:type="dxa"/>
            <w:shd w:val="clear" w:color="auto" w:fill="auto"/>
          </w:tcPr>
          <w:p w:rsidR="007E4F1B" w:rsidRDefault="007E4F1B" w:rsidP="007E4F1B"/>
        </w:tc>
        <w:tc>
          <w:tcPr>
            <w:tcW w:w="545" w:type="dxa"/>
            <w:shd w:val="clear" w:color="auto" w:fill="auto"/>
          </w:tcPr>
          <w:p w:rsidR="007E4F1B" w:rsidRDefault="007E4F1B" w:rsidP="007E4F1B"/>
        </w:tc>
      </w:tr>
      <w:tr w:rsidR="007E4F1B" w:rsidTr="00DE0B16">
        <w:tc>
          <w:tcPr>
            <w:tcW w:w="9576" w:type="dxa"/>
            <w:gridSpan w:val="4"/>
            <w:shd w:val="clear" w:color="auto" w:fill="auto"/>
          </w:tcPr>
          <w:p w:rsidR="007E4F1B" w:rsidRDefault="007E4F1B" w:rsidP="007E4F1B">
            <w:r>
              <w:t>Comments:</w:t>
            </w:r>
          </w:p>
          <w:p w:rsidR="007E4F1B" w:rsidRDefault="007E4F1B" w:rsidP="007E4F1B"/>
        </w:tc>
      </w:tr>
    </w:tbl>
    <w:p w:rsidR="007E4F1B" w:rsidRDefault="007E4F1B" w:rsidP="007E4F1B">
      <w:pPr>
        <w:spacing w:after="0" w:line="240" w:lineRule="auto"/>
      </w:pPr>
    </w:p>
    <w:p w:rsidR="007E4F1B" w:rsidRDefault="007E4F1B" w:rsidP="007E4F1B">
      <w:pPr>
        <w:pStyle w:val="Heading3"/>
        <w:spacing w:before="0" w:line="240" w:lineRule="auto"/>
      </w:pPr>
      <w:r>
        <w:t>Facility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360"/>
        <w:gridCol w:w="390"/>
        <w:gridCol w:w="545"/>
      </w:tblGrid>
      <w:tr w:rsidR="00F46F44" w:rsidRPr="00F46F44" w:rsidTr="007E4F1B">
        <w:tc>
          <w:tcPr>
            <w:tcW w:w="8360" w:type="dxa"/>
            <w:shd w:val="clear" w:color="auto" w:fill="auto"/>
          </w:tcPr>
          <w:p w:rsidR="00F46F44" w:rsidRDefault="00F46F44" w:rsidP="0095465B">
            <w:pPr>
              <w:jc w:val="right"/>
            </w:pPr>
            <w:r w:rsidRPr="007E4F1B">
              <w:t>Y=YES; N=NO; NA=NOT</w:t>
            </w:r>
            <w:r>
              <w:t xml:space="preserve"> APPLICABLE</w:t>
            </w:r>
          </w:p>
        </w:tc>
        <w:tc>
          <w:tcPr>
            <w:tcW w:w="360" w:type="dxa"/>
            <w:shd w:val="clear" w:color="auto" w:fill="auto"/>
          </w:tcPr>
          <w:p w:rsidR="00F46F44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Y</w:t>
            </w:r>
          </w:p>
        </w:tc>
        <w:tc>
          <w:tcPr>
            <w:tcW w:w="361" w:type="dxa"/>
            <w:shd w:val="clear" w:color="auto" w:fill="auto"/>
          </w:tcPr>
          <w:p w:rsidR="00F46F44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N</w:t>
            </w:r>
          </w:p>
        </w:tc>
        <w:tc>
          <w:tcPr>
            <w:tcW w:w="495" w:type="dxa"/>
            <w:shd w:val="clear" w:color="auto" w:fill="auto"/>
          </w:tcPr>
          <w:p w:rsidR="00F46F44" w:rsidRPr="00F46F44" w:rsidRDefault="00F46F44" w:rsidP="007E4F1B">
            <w:pPr>
              <w:rPr>
                <w:b/>
              </w:rPr>
            </w:pPr>
            <w:r w:rsidRPr="00F46F44">
              <w:rPr>
                <w:b/>
              </w:rPr>
              <w:t>NA</w:t>
            </w:r>
          </w:p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CC1D73">
            <w:r>
              <w:t>1. Adequate safety and security is provided?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5860AD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  <w:bookmarkStart w:id="0" w:name="_GoBack"/>
        <w:bookmarkEnd w:id="0"/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2. Reasonable distance from school?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0B3E2C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3. Adequate public transport to location?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BE624D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4. Fire safety and disaster plan and equipment?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042810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lastRenderedPageBreak/>
              <w:t>5. Evidence of cultural bias or discrimination?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E86B1B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6. Sterile clothing provided for surgical and other clean areas?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7903B7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7. Protective equipment (masks, gloves, gowns, etc.) provided for potentially infected procedures and areas?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4F62C6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8. Parking sufficient to accommodate students?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9. Food service or safe, convenient outside food vendors available to students?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3F27E8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 xml:space="preserve">10. Residential facilities adequate, if students will spend </w:t>
            </w:r>
            <w:proofErr w:type="gramStart"/>
            <w:r>
              <w:t>nights</w:t>
            </w:r>
            <w:proofErr w:type="gramEnd"/>
            <w:r>
              <w:t xml:space="preserve"> on-call?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7E4F1B">
        <w:tc>
          <w:tcPr>
            <w:tcW w:w="8360" w:type="dxa"/>
            <w:shd w:val="clear" w:color="auto" w:fill="auto"/>
          </w:tcPr>
          <w:p w:rsidR="00F46F44" w:rsidRDefault="00F46F44" w:rsidP="007E4F1B">
            <w:r>
              <w:t>11. Break rooms in clinical areas open to students?</w:t>
            </w:r>
          </w:p>
        </w:tc>
        <w:tc>
          <w:tcPr>
            <w:tcW w:w="360" w:type="dxa"/>
            <w:shd w:val="clear" w:color="auto" w:fill="auto"/>
          </w:tcPr>
          <w:p w:rsidR="00F46F44" w:rsidRDefault="00F46F44" w:rsidP="007E4F1B"/>
        </w:tc>
        <w:tc>
          <w:tcPr>
            <w:tcW w:w="361" w:type="dxa"/>
            <w:shd w:val="clear" w:color="auto" w:fill="auto"/>
          </w:tcPr>
          <w:p w:rsidR="00F46F44" w:rsidRDefault="00F46F44" w:rsidP="007E4F1B"/>
        </w:tc>
        <w:tc>
          <w:tcPr>
            <w:tcW w:w="495" w:type="dxa"/>
            <w:shd w:val="clear" w:color="auto" w:fill="auto"/>
          </w:tcPr>
          <w:p w:rsidR="00F46F44" w:rsidRDefault="00F46F44" w:rsidP="007E4F1B"/>
        </w:tc>
      </w:tr>
      <w:tr w:rsidR="00F46F44" w:rsidTr="00035DDF">
        <w:tc>
          <w:tcPr>
            <w:tcW w:w="9576" w:type="dxa"/>
            <w:gridSpan w:val="4"/>
            <w:shd w:val="clear" w:color="auto" w:fill="auto"/>
          </w:tcPr>
          <w:p w:rsidR="00F46F44" w:rsidRDefault="00F46F44" w:rsidP="007E4F1B">
            <w:r>
              <w:t>Comments:</w:t>
            </w:r>
          </w:p>
          <w:p w:rsidR="00F46F44" w:rsidRDefault="00F46F44" w:rsidP="007E4F1B"/>
        </w:tc>
      </w:tr>
    </w:tbl>
    <w:p w:rsidR="007E4F1B" w:rsidRPr="007E4F1B" w:rsidRDefault="007E4F1B" w:rsidP="007E4F1B">
      <w:pPr>
        <w:spacing w:after="0" w:line="240" w:lineRule="auto"/>
      </w:pPr>
    </w:p>
    <w:sectPr w:rsidR="007E4F1B" w:rsidRPr="007E4F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A0" w:rsidRDefault="001B5CA0" w:rsidP="007E4F1B">
      <w:pPr>
        <w:spacing w:after="0" w:line="240" w:lineRule="auto"/>
      </w:pPr>
      <w:r>
        <w:separator/>
      </w:r>
    </w:p>
  </w:endnote>
  <w:endnote w:type="continuationSeparator" w:id="0">
    <w:p w:rsidR="001B5CA0" w:rsidRDefault="001B5CA0" w:rsidP="007E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A0" w:rsidRDefault="001B5CA0" w:rsidP="007E4F1B">
      <w:pPr>
        <w:spacing w:after="0" w:line="240" w:lineRule="auto"/>
      </w:pPr>
      <w:r>
        <w:separator/>
      </w:r>
    </w:p>
  </w:footnote>
  <w:footnote w:type="continuationSeparator" w:id="0">
    <w:p w:rsidR="001B5CA0" w:rsidRDefault="001B5CA0" w:rsidP="007E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5405"/>
      <w:docPartObj>
        <w:docPartGallery w:val="Page Numbers (Top of Page)"/>
        <w:docPartUnique/>
      </w:docPartObj>
    </w:sdtPr>
    <w:sdtEndPr>
      <w:rPr>
        <w:rFonts w:cs="Segoe UI"/>
        <w:noProof/>
      </w:rPr>
    </w:sdtEndPr>
    <w:sdtContent>
      <w:p w:rsidR="007E4F1B" w:rsidRPr="007E4F1B" w:rsidRDefault="007E4F1B">
        <w:pPr>
          <w:pStyle w:val="Header"/>
          <w:jc w:val="right"/>
          <w:rPr>
            <w:rFonts w:cs="Segoe UI"/>
          </w:rPr>
        </w:pPr>
        <w:r w:rsidRPr="00594BEE">
          <w:rPr>
            <w:rFonts w:cs="Segoe UI"/>
            <w:sz w:val="20"/>
            <w:szCs w:val="20"/>
          </w:rPr>
          <w:t>Please adapt this example to your context prior to use</w:t>
        </w:r>
        <w:r w:rsidRPr="007E4F1B">
          <w:rPr>
            <w:rFonts w:cs="Segoe UI"/>
          </w:rPr>
          <w:t xml:space="preserve"> </w:t>
        </w:r>
        <w:r>
          <w:rPr>
            <w:rFonts w:cs="Segoe UI"/>
          </w:rPr>
          <w:tab/>
        </w:r>
        <w:r w:rsidRPr="007E4F1B">
          <w:rPr>
            <w:rFonts w:cs="Segoe UI"/>
          </w:rPr>
          <w:fldChar w:fldCharType="begin"/>
        </w:r>
        <w:r w:rsidRPr="007E4F1B">
          <w:rPr>
            <w:rFonts w:cs="Segoe UI"/>
          </w:rPr>
          <w:instrText xml:space="preserve"> PAGE   \* MERGEFORMAT </w:instrText>
        </w:r>
        <w:r w:rsidRPr="007E4F1B">
          <w:rPr>
            <w:rFonts w:cs="Segoe UI"/>
          </w:rPr>
          <w:fldChar w:fldCharType="separate"/>
        </w:r>
        <w:r w:rsidR="00F46F44">
          <w:rPr>
            <w:rFonts w:cs="Segoe UI"/>
            <w:noProof/>
          </w:rPr>
          <w:t>1</w:t>
        </w:r>
        <w:r w:rsidRPr="007E4F1B">
          <w:rPr>
            <w:rFonts w:cs="Segoe UI"/>
            <w:noProof/>
          </w:rPr>
          <w:fldChar w:fldCharType="end"/>
        </w:r>
      </w:p>
    </w:sdtContent>
  </w:sdt>
  <w:p w:rsidR="007E4F1B" w:rsidRDefault="007E4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B"/>
    <w:rsid w:val="001B5CA0"/>
    <w:rsid w:val="005A7116"/>
    <w:rsid w:val="006D217A"/>
    <w:rsid w:val="007E4F1B"/>
    <w:rsid w:val="00E600A1"/>
    <w:rsid w:val="00F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1B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qFormat/>
    <w:rsid w:val="007E4F1B"/>
    <w:pPr>
      <w:keepNext/>
      <w:spacing w:before="1200" w:after="60" w:line="240" w:lineRule="auto"/>
      <w:outlineLvl w:val="0"/>
    </w:pPr>
    <w:rPr>
      <w:rFonts w:ascii="Century Gothic Bold" w:eastAsia="Times New Roman" w:hAnsi="Century Gothic Bold" w:cs="Arial"/>
      <w:b/>
      <w:bCs/>
      <w:smallCaps/>
      <w:color w:val="B1221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F1B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F1B"/>
    <w:pPr>
      <w:keepNext/>
      <w:keepLines/>
      <w:spacing w:before="200" w:after="0"/>
      <w:outlineLvl w:val="2"/>
    </w:pPr>
    <w:rPr>
      <w:rFonts w:ascii="Century Gothic" w:eastAsiaTheme="majorEastAsia" w:hAnsi="Century Gothic" w:cstheme="majorBidi"/>
      <w:b/>
      <w:bCs/>
      <w:color w:val="6364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F1B"/>
    <w:rPr>
      <w:rFonts w:ascii="Century Gothic Bold" w:eastAsia="Times New Roman" w:hAnsi="Century Gothic Bold" w:cs="Arial"/>
      <w:b/>
      <w:bCs/>
      <w:smallCaps/>
      <w:color w:val="B12216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1B"/>
  </w:style>
  <w:style w:type="paragraph" w:styleId="Footer">
    <w:name w:val="footer"/>
    <w:basedOn w:val="Normal"/>
    <w:link w:val="FooterChar"/>
    <w:uiPriority w:val="99"/>
    <w:unhideWhenUsed/>
    <w:rsid w:val="007E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1B"/>
  </w:style>
  <w:style w:type="character" w:customStyle="1" w:styleId="Heading2Char">
    <w:name w:val="Heading 2 Char"/>
    <w:basedOn w:val="DefaultParagraphFont"/>
    <w:link w:val="Heading2"/>
    <w:uiPriority w:val="9"/>
    <w:rsid w:val="007E4F1B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table" w:styleId="TableGrid">
    <w:name w:val="Table Grid"/>
    <w:basedOn w:val="TableNormal"/>
    <w:uiPriority w:val="59"/>
    <w:rsid w:val="007E4F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4F1B"/>
    <w:rPr>
      <w:rFonts w:ascii="Century Gothic" w:eastAsiaTheme="majorEastAsia" w:hAnsi="Century Gothic" w:cstheme="majorBidi"/>
      <w:b/>
      <w:bCs/>
      <w:color w:val="6364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1B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qFormat/>
    <w:rsid w:val="007E4F1B"/>
    <w:pPr>
      <w:keepNext/>
      <w:spacing w:before="1200" w:after="60" w:line="240" w:lineRule="auto"/>
      <w:outlineLvl w:val="0"/>
    </w:pPr>
    <w:rPr>
      <w:rFonts w:ascii="Century Gothic Bold" w:eastAsia="Times New Roman" w:hAnsi="Century Gothic Bold" w:cs="Arial"/>
      <w:b/>
      <w:bCs/>
      <w:smallCaps/>
      <w:color w:val="B1221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F1B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F1B"/>
    <w:pPr>
      <w:keepNext/>
      <w:keepLines/>
      <w:spacing w:before="200" w:after="0"/>
      <w:outlineLvl w:val="2"/>
    </w:pPr>
    <w:rPr>
      <w:rFonts w:ascii="Century Gothic" w:eastAsiaTheme="majorEastAsia" w:hAnsi="Century Gothic" w:cstheme="majorBidi"/>
      <w:b/>
      <w:bCs/>
      <w:color w:val="6364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F1B"/>
    <w:rPr>
      <w:rFonts w:ascii="Century Gothic Bold" w:eastAsia="Times New Roman" w:hAnsi="Century Gothic Bold" w:cs="Arial"/>
      <w:b/>
      <w:bCs/>
      <w:smallCaps/>
      <w:color w:val="B12216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1B"/>
  </w:style>
  <w:style w:type="paragraph" w:styleId="Footer">
    <w:name w:val="footer"/>
    <w:basedOn w:val="Normal"/>
    <w:link w:val="FooterChar"/>
    <w:uiPriority w:val="99"/>
    <w:unhideWhenUsed/>
    <w:rsid w:val="007E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1B"/>
  </w:style>
  <w:style w:type="character" w:customStyle="1" w:styleId="Heading2Char">
    <w:name w:val="Heading 2 Char"/>
    <w:basedOn w:val="DefaultParagraphFont"/>
    <w:link w:val="Heading2"/>
    <w:uiPriority w:val="9"/>
    <w:rsid w:val="007E4F1B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table" w:styleId="TableGrid">
    <w:name w:val="Table Grid"/>
    <w:basedOn w:val="TableNormal"/>
    <w:uiPriority w:val="59"/>
    <w:rsid w:val="007E4F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4F1B"/>
    <w:rPr>
      <w:rFonts w:ascii="Century Gothic" w:eastAsiaTheme="majorEastAsia" w:hAnsi="Century Gothic" w:cstheme="majorBidi"/>
      <w:b/>
      <w:bCs/>
      <w:color w:val="6364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Grimes</dc:creator>
  <cp:lastModifiedBy>Katie Grimes</cp:lastModifiedBy>
  <cp:revision>2</cp:revision>
  <dcterms:created xsi:type="dcterms:W3CDTF">2015-05-27T14:24:00Z</dcterms:created>
  <dcterms:modified xsi:type="dcterms:W3CDTF">2015-05-27T14:48:00Z</dcterms:modified>
</cp:coreProperties>
</file>